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5102" w:right="0" w:firstLine="0"/>
        <w:jc w:val="left"/>
        <w:spacing w:line="276" w:lineRule="auto"/>
        <w:tabs>
          <w:tab w:val="left" w:pos="5823" w:leader="none"/>
          <w:tab w:val="left" w:pos="8280" w:leader="none"/>
          <w:tab w:val="right" w:pos="10348" w:leader="none"/>
          <w:tab w:val="right" w:pos="10607" w:leader="none"/>
        </w:tabs>
        <w:rPr>
          <w:color w:val="000000"/>
          <w:sz w:val="22"/>
          <w:szCs w:val="22"/>
          <w:highlight w:val="white"/>
        </w:rPr>
      </w:pPr>
      <w:r>
        <w:rPr>
          <w:color w:val="000000"/>
          <w:sz w:val="22"/>
          <w:szCs w:val="22"/>
        </w:rPr>
      </w:r>
      <w:r>
        <w:rPr>
          <w:color w:val="000000"/>
          <w:sz w:val="22"/>
          <w:szCs w:val="22"/>
          <w:highlight w:val="white"/>
        </w:rPr>
        <w:t xml:space="preserve">Приложение № 18 </w:t>
      </w:r>
      <w:r>
        <w:rPr>
          <w:color w:val="000000"/>
          <w:sz w:val="22"/>
          <w:szCs w:val="22"/>
          <w:highlight w:val="white"/>
        </w:rPr>
      </w:r>
      <w:r>
        <w:rPr>
          <w:color w:val="000000"/>
          <w:sz w:val="22"/>
          <w:szCs w:val="22"/>
          <w:highlight w:val="white"/>
        </w:rPr>
      </w:r>
    </w:p>
    <w:p>
      <w:pPr>
        <w:ind w:left="5102" w:right="0" w:firstLine="0"/>
        <w:jc w:val="left"/>
        <w:spacing w:line="276" w:lineRule="auto"/>
        <w:tabs>
          <w:tab w:val="left" w:pos="5823" w:leader="none"/>
          <w:tab w:val="left" w:pos="8280" w:leader="none"/>
          <w:tab w:val="right" w:pos="10348" w:leader="none"/>
          <w:tab w:val="right" w:pos="10607" w:leader="none"/>
        </w:tabs>
        <w:rPr>
          <w:color w:val="000000"/>
          <w:sz w:val="22"/>
          <w:szCs w:val="22"/>
          <w:highlight w:val="white"/>
        </w:rPr>
      </w:pPr>
      <w:r>
        <w:rPr>
          <w:color w:val="000000"/>
          <w:sz w:val="22"/>
          <w:szCs w:val="22"/>
          <w:highlight w:val="white"/>
        </w:rPr>
        <w:t xml:space="preserve">к Договору подряда </w:t>
      </w:r>
      <w:r>
        <w:rPr>
          <w:color w:val="000000"/>
          <w:sz w:val="22"/>
          <w:szCs w:val="22"/>
          <w:highlight w:val="white"/>
        </w:rPr>
      </w:r>
      <w:r>
        <w:rPr>
          <w:color w:val="000000"/>
          <w:sz w:val="22"/>
          <w:szCs w:val="22"/>
          <w:highlight w:val="white"/>
        </w:rPr>
      </w:r>
    </w:p>
    <w:p>
      <w:pPr>
        <w:ind w:left="5102" w:right="0" w:firstLine="0"/>
        <w:jc w:val="left"/>
        <w:spacing w:line="276" w:lineRule="auto"/>
        <w:tabs>
          <w:tab w:val="left" w:pos="5823" w:leader="none"/>
          <w:tab w:val="left" w:pos="8280" w:leader="none"/>
          <w:tab w:val="left" w:pos="8787" w:leader="none"/>
          <w:tab w:val="left" w:pos="9071" w:leader="none"/>
          <w:tab w:val="right" w:pos="10348" w:leader="none"/>
          <w:tab w:val="right" w:pos="10607" w:leader="none"/>
        </w:tabs>
        <w:rPr>
          <w:color w:val="000000"/>
          <w:sz w:val="22"/>
          <w:szCs w:val="22"/>
          <w:highlight w:val="white"/>
        </w:rPr>
      </w:pPr>
      <w:r>
        <w:rPr>
          <w:color w:val="000000"/>
          <w:sz w:val="22"/>
          <w:szCs w:val="22"/>
          <w:highlight w:val="white"/>
        </w:rPr>
        <w:t xml:space="preserve">от </w:t>
      </w:r>
      <w:r>
        <w:rPr>
          <w:color w:val="000000"/>
          <w:sz w:val="22"/>
          <w:szCs w:val="22"/>
          <w:highlight w:val="white"/>
          <w:u w:val="single"/>
        </w:rPr>
        <w:t xml:space="preserve">      </w:t>
      </w:r>
      <w:r>
        <w:rPr>
          <w:color w:val="000000"/>
          <w:sz w:val="22"/>
          <w:szCs w:val="22"/>
          <w:highlight w:val="white"/>
          <w:u w:val="single"/>
        </w:rPr>
        <w:t xml:space="preserve">    </w:t>
      </w:r>
      <w:r>
        <w:rPr>
          <w:color w:val="000000"/>
          <w:sz w:val="22"/>
          <w:szCs w:val="22"/>
          <w:highlight w:val="white"/>
          <w:u w:val="single"/>
        </w:rPr>
        <w:t xml:space="preserve">          </w:t>
      </w:r>
      <w:r>
        <w:rPr>
          <w:color w:val="000000"/>
          <w:sz w:val="22"/>
          <w:szCs w:val="22"/>
          <w:highlight w:val="white"/>
        </w:rPr>
        <w:t xml:space="preserve">20__</w:t>
      </w:r>
      <w:r>
        <w:rPr>
          <w:color w:val="000000"/>
          <w:sz w:val="22"/>
          <w:szCs w:val="22"/>
          <w:highlight w:val="white"/>
        </w:rPr>
        <w:t xml:space="preserve">г. </w:t>
      </w:r>
      <w:r>
        <w:rPr>
          <w:color w:val="000000"/>
          <w:sz w:val="22"/>
          <w:szCs w:val="22"/>
          <w:highlight w:val="white"/>
        </w:rPr>
        <w:t xml:space="preserve">№______________</w:t>
      </w:r>
      <w:r>
        <w:rPr>
          <w:color w:val="000000"/>
          <w:sz w:val="22"/>
          <w:szCs w:val="22"/>
          <w:highlight w:val="white"/>
        </w:rPr>
      </w:r>
      <w:r>
        <w:rPr>
          <w:color w:val="000000"/>
          <w:sz w:val="22"/>
          <w:szCs w:val="22"/>
          <w:highlight w:val="white"/>
        </w:rPr>
      </w:r>
    </w:p>
    <w:p>
      <w:pPr>
        <w:ind w:firstLine="708"/>
        <w:jc w:val="right"/>
        <w:rPr>
          <w:sz w:val="22"/>
          <w:szCs w:val="22"/>
          <w:u w:val="none"/>
        </w:rPr>
      </w:pPr>
      <w:r>
        <w:rPr>
          <w:sz w:val="22"/>
          <w:szCs w:val="22"/>
          <w:u w:val="none"/>
        </w:rPr>
      </w:r>
    </w:p>
    <w:p>
      <w:pPr>
        <w:ind w:firstLine="708"/>
        <w:spacing w:line="360" w:lineRule="auto"/>
        <w:rPr>
          <w:sz w:val="26"/>
          <w:szCs w:val="26"/>
          <w:u w:val="none"/>
        </w:rPr>
      </w:pPr>
      <w:r>
        <w:rPr>
          <w:sz w:val="26"/>
          <w:szCs w:val="26"/>
          <w:u w:val="none"/>
        </w:rPr>
      </w:r>
      <w:r>
        <w:rPr>
          <w:sz w:val="26"/>
          <w:szCs w:val="26"/>
          <w:u w:val="none"/>
        </w:rPr>
      </w:r>
      <w:r>
        <w:rPr>
          <w:sz w:val="26"/>
          <w:szCs w:val="26"/>
          <w:u w:val="none"/>
        </w:rPr>
      </w:r>
    </w:p>
    <w:p>
      <w:pPr>
        <w:ind w:firstLine="708"/>
        <w:spacing w:line="360" w:lineRule="auto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Порядок представления и согласования исполнительной документации на выполненные работы 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firstLine="708"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Документ определяет порядок взаимодействия заказчика (филиалы </w:t>
      </w:r>
      <w:r>
        <w:rPr>
          <w:sz w:val="24"/>
          <w:szCs w:val="24"/>
        </w:rPr>
        <w:t xml:space="preserve">или подконтрольные организации</w:t>
      </w:r>
      <w:r>
        <w:rPr>
          <w:rStyle w:val="966"/>
          <w:sz w:val="24"/>
          <w:szCs w:val="24"/>
        </w:rPr>
        <w:footnoteReference w:id="2"/>
      </w:r>
      <w:r>
        <w:rPr>
          <w:sz w:val="24"/>
          <w:szCs w:val="24"/>
        </w:rPr>
        <w:t xml:space="preserve"> Группы РусГидро), технического заказчика (агент или иная организация, </w:t>
      </w:r>
      <w:r>
        <w:rPr>
          <w:sz w:val="24"/>
          <w:szCs w:val="24"/>
        </w:rPr>
        <w:t xml:space="preserve">действующая на основании агентского договора, заключенного с заказчиком), подрядчика (генеральный подрядчик или иная подрядная организация, действующая в качестве лица, осуществляющего строительство на основании договора подряда, заключенного с заказчиком </w:t>
      </w:r>
      <w:r>
        <w:rPr>
          <w:sz w:val="24"/>
          <w:szCs w:val="24"/>
        </w:rPr>
        <w:t xml:space="preserve">или с техническим заказчиком)</w:t>
      </w:r>
      <w:r>
        <w:rPr>
          <w:rStyle w:val="966"/>
          <w:sz w:val="24"/>
          <w:szCs w:val="24"/>
        </w:rPr>
        <w:footnoteReference w:id="3"/>
      </w:r>
      <w:r>
        <w:rPr>
          <w:sz w:val="24"/>
          <w:szCs w:val="24"/>
        </w:rPr>
        <w:t xml:space="preserve"> при согласовании и приемке исполнительной документации</w:t>
      </w:r>
      <w:r>
        <w:rPr>
          <w:rStyle w:val="966"/>
          <w:sz w:val="24"/>
          <w:szCs w:val="24"/>
        </w:rPr>
        <w:footnoteReference w:id="4"/>
      </w:r>
      <w:r>
        <w:rPr>
          <w:sz w:val="24"/>
          <w:szCs w:val="24"/>
        </w:rPr>
        <w:t xml:space="preserve"> в ходе реализации инвестиционных проектов строительства, технического перевооружения и реконструкции объектов Группы РусГидро.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Приемка у Подрядчика выполненных работ с оформлением </w:t>
      </w:r>
      <w:r>
        <w:rPr>
          <w:sz w:val="24"/>
          <w:szCs w:val="24"/>
        </w:rPr>
        <w:t xml:space="preserve">и подписанием унифицированной формы КС-2 или подписанием акта освид</w:t>
      </w:r>
      <w:r>
        <w:rPr>
          <w:sz w:val="24"/>
          <w:szCs w:val="24"/>
        </w:rPr>
        <w:t xml:space="preserve">етельствования выполненных работ осуществляется при условии надлежащего оформления и предъявления Подрядчиком полного комплекта ИД в соответствии с применимыми требованиями нормативного-технической документации и законодательства в отношении предъявляемых </w:t>
      </w:r>
      <w:r>
        <w:rPr>
          <w:sz w:val="24"/>
          <w:szCs w:val="24"/>
        </w:rPr>
        <w:t xml:space="preserve">к сдаче-приемке работ. В ходе сдачи-приемки Подрядчиком работ сформированные им комплекты исполнительной документации размещаются</w:t>
      </w:r>
      <w:r>
        <w:rPr>
          <w:rStyle w:val="966"/>
          <w:sz w:val="24"/>
          <w:szCs w:val="24"/>
        </w:rPr>
        <w:footnoteReference w:id="5"/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соответствующем разделе на сетевом ресурсе Группы РусГидро.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Доступ Техническому заказчику, Подрядчику, а также представителю проектировщика, осуществляющего авторский надзор, к сетевому ресурсу предоставляется Заказчиком или ПАО «РусГидро».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Подрядчик размещает на се</w:t>
      </w:r>
      <w:r>
        <w:rPr>
          <w:sz w:val="24"/>
          <w:szCs w:val="24"/>
        </w:rPr>
        <w:t xml:space="preserve">тевом ресурсе в соответствующем разделе комплекты ИД и реестр ИД (далее – Реестр), в котором помимо принадлежности комплекта ИД и наименования документов отображается информация о дате размещения, наличии замечаний, сроках устранения замечаний, отметках о </w:t>
      </w:r>
      <w:r>
        <w:rPr>
          <w:sz w:val="24"/>
          <w:szCs w:val="24"/>
        </w:rPr>
        <w:t xml:space="preserve">согласовании по каждому комплекту ИД. Формы Реестров для соответствующих раз</w:t>
      </w:r>
      <w:r>
        <w:rPr>
          <w:sz w:val="24"/>
          <w:szCs w:val="24"/>
        </w:rPr>
        <w:t xml:space="preserve">делов представлены в приложении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 настоящему Порядку.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случае привлечения Подрядчиком к оформлению и размещению </w:t>
      </w:r>
      <w:r>
        <w:rPr>
          <w:sz w:val="24"/>
          <w:szCs w:val="24"/>
        </w:rPr>
        <w:t xml:space="preserve">на сетевом ресурсе документов комплекта ИД субподрядных организаций ответственность за своевременность размещения, полноту и надлежащее оформление каждого комплекта ИД возлагается на Подрядчика. Действия </w:t>
      </w:r>
      <w:r>
        <w:rPr>
          <w:sz w:val="24"/>
          <w:szCs w:val="24"/>
        </w:rPr>
        <w:t xml:space="preserve">по выдаче и устранению замечаний к ИД, согласованию комплектов ИД Техническим заказчиком должны находить свое отражение в Реестре и быть доступны для просмотра и контроля Заказчику.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 факту оформления и размещения на сетевом ресурсе комплекта ИД Подрядчик уведомляет Технического заказчика</w:t>
      </w:r>
      <w:r>
        <w:rPr>
          <w:rStyle w:val="966"/>
          <w:sz w:val="24"/>
          <w:szCs w:val="24"/>
        </w:rPr>
        <w:footnoteReference w:id="6"/>
      </w:r>
      <w:r>
        <w:rPr>
          <w:sz w:val="24"/>
          <w:szCs w:val="24"/>
        </w:rPr>
        <w:t xml:space="preserve"> о готовности комплекта ИД </w:t>
      </w:r>
      <w:r>
        <w:rPr>
          <w:sz w:val="24"/>
          <w:szCs w:val="24"/>
        </w:rPr>
        <w:t xml:space="preserve">и необходимости его проверки.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Технический заказчик </w:t>
      </w:r>
      <w:r>
        <w:rPr>
          <w:sz w:val="24"/>
          <w:szCs w:val="24"/>
        </w:rPr>
        <w:t xml:space="preserve">(см. сноску 5) в течение 5 (пяти) рабочих дней осуществляет проверку комплекта ИД, в случае наличия замечаний отражает их в соответствующей графе Реестра с указанием сроков их устранения и письменно извещает Подрядчика о необходимости устранения замечаний.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Перечень замечаний по возможности должен быть исчерпывающим. Направление впоследствии дополнительных замечаний к проверенному комплекту ИД не допускается за исключением случаев, когда такие замечания предъ</w:t>
      </w:r>
      <w:r>
        <w:rPr>
          <w:sz w:val="24"/>
          <w:szCs w:val="24"/>
        </w:rPr>
        <w:t xml:space="preserve">явлены другим участником рассмотрения ИД или комплект ИД дополняется новыми документами, которые ранее не рассматривались, или замечания представляются к той части комплекта документов, которая подверглась изменению при устранении первоначальных замечаний.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случае получения замечаний Технического заказчика (или иного участника рассмотрения) к комплекту ИД Подрядчик организует необходимые мероприятия по их устранению в указанные сроки.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 итогам устранения замечаний и доработки комплекта ИД </w:t>
      </w:r>
      <w:r>
        <w:rPr>
          <w:sz w:val="24"/>
          <w:szCs w:val="24"/>
        </w:rPr>
        <w:t xml:space="preserve">Подрядчик направляет Техническому заказчику (см. сноску 5) уведомление </w:t>
      </w:r>
      <w:r>
        <w:rPr>
          <w:sz w:val="24"/>
          <w:szCs w:val="24"/>
        </w:rPr>
        <w:t xml:space="preserve">о необходимости осуществления проверки откорректированного комплекта ИД на сетевом ресурсе.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случае отсутствия замечаний Технический</w:t>
      </w:r>
      <w:r>
        <w:rPr>
          <w:sz w:val="24"/>
          <w:szCs w:val="24"/>
        </w:rPr>
        <w:t xml:space="preserve"> заказчик (см. сноску 5) извещает Подрядчика о согласовании комплекта ИД, делает соответствующую отметку об этом в Реестре на сетевом ресурсе и при необходимости организует мероприятия по включению согласованного комплекта ИД в состав сдаточного комплекта.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После получен</w:t>
      </w:r>
      <w:r>
        <w:rPr>
          <w:sz w:val="24"/>
          <w:szCs w:val="24"/>
        </w:rPr>
        <w:t xml:space="preserve">ия письменного извещения от Заказчика о согласовании сдаточного комплекта ИД Технический заказчик (а в случае отсутствия Технического заказчика – Подрядчик) в течение 5 (пяти) рабочих дней организует мероприятия по формированию согласованного комплекта ИД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из оригинальных экземпляров документов или их надлежащим образом заверенных копий, организует брошюрование получившегося комплекта </w:t>
      </w:r>
      <w:r>
        <w:rPr>
          <w:sz w:val="24"/>
          <w:szCs w:val="24"/>
        </w:rPr>
        <w:br w:type="textWrapping" w:clear="all"/>
        <w:t xml:space="preserve">и направляет его Заказчику. При этом ответственность за полноту и качество содержания сброшюрованных в комплекты документов несет Технический заказчик (а в случае отсутствия Технического заказчика – Подрядчик).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Заказчик проверяет полноту комплекта сброшюрованных документов, </w:t>
      </w:r>
      <w:r>
        <w:rPr>
          <w:sz w:val="24"/>
          <w:szCs w:val="24"/>
        </w:rPr>
        <w:t xml:space="preserve">в случае отсутствия замечаний осуществляет его приемку для последующей передачи </w:t>
      </w:r>
      <w:r>
        <w:rPr>
          <w:sz w:val="24"/>
          <w:szCs w:val="24"/>
        </w:rPr>
        <w:t xml:space="preserve">в архив, по результатам которой не позднее 3 (трех) рабочих дней Заказчик делает отметку в соответствующем Реестре о приемке такого комплекта ИД.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9"/>
        <w:spacing w:line="36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Требования к организации структуры массива ИД на сетевом ресурсе, срокам первичного размещения комплектов ИД, а также к срокам передачи заводской сопроводительной документации на оборудование и иной документации, относящейся к ИД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firstLine="709"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</w:t>
      </w:r>
      <w:r>
        <w:rPr>
          <w:sz w:val="24"/>
          <w:szCs w:val="24"/>
        </w:rPr>
        <w:t xml:space="preserve"> сетевом ресурсе Группы РусГидро по каждому инвестиционному проекту строительства, реконструкции, технического перевооружения создаются отдельные разделы для размещения и контроля полноты и качества оформляемой ИД для следующих типов (видов) комплектов ИД: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Р-1 для комплектов ИД, оформляемых для освидетельствования (приемки) работ, оказывающих влияние на безопасность объекта (скрытые работы, ответственные конструкции, участки сетей инженерно-технического обеспечения);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Р-2 для комплектов ИД, оформляемых для приемки выполненных работ по актам КС-2 или по актам приемки объемов фактически выполненных работ за отчетный период (календарный месяц);</w:t>
      </w:r>
      <w:bookmarkStart w:id="0" w:name="_GoBack"/>
      <w:r>
        <w:rPr>
          <w:sz w:val="24"/>
          <w:szCs w:val="24"/>
        </w:rPr>
      </w:r>
      <w:bookmarkEnd w:id="0"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каждом из разделов размещаются: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файл Реестра для данного раздела (например, в формате таблицы Excel, в кот</w:t>
      </w:r>
      <w:r>
        <w:rPr>
          <w:sz w:val="24"/>
          <w:szCs w:val="24"/>
        </w:rPr>
        <w:t xml:space="preserve">орой по строкам будет формироваться перечень комплектов и документов ИД, оформляемых в ходе строительства, а в столбцах будет отражаться информация о состоянии полноты комплекта, замечаниях по результатам проверки, отметки об устранении замечаний, отметки </w:t>
      </w:r>
      <w:r>
        <w:rPr>
          <w:sz w:val="24"/>
          <w:szCs w:val="24"/>
        </w:rPr>
        <w:t xml:space="preserve">о согласовании комплекта ИД генеральным подрядчиком, Техническим заказчиком (агентом), Заказчиком, отметки о передаче комплекта ИД для архива Заказчика, а также прочая необходимая информация);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отдельные папки для каждого комплекта ИД, в которых размещаются файлы отсканированных документов данного комплекта.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Основным идентификатором (признаком) наименования комплекта ИД </w:t>
      </w:r>
      <w:r>
        <w:rPr>
          <w:sz w:val="24"/>
          <w:szCs w:val="24"/>
        </w:rPr>
        <w:t xml:space="preserve">в Реестре и элементом названия для соответствующей папки с файлами документов ИД следует принять номер чертежа рабочей документации.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случае если в одном комплекте рабочих чертежей (за одним номером) на листах предусмотрено выполнение разных строительных конструктивов, </w:t>
      </w:r>
      <w:r>
        <w:rPr>
          <w:sz w:val="24"/>
          <w:szCs w:val="24"/>
        </w:rPr>
        <w:t xml:space="preserve">то в папке с наименованием, соответствующим этому номеру комплекта рабочих чертежей, создаются подпапки для размещен</w:t>
      </w:r>
      <w:r>
        <w:rPr>
          <w:sz w:val="24"/>
          <w:szCs w:val="24"/>
        </w:rPr>
        <w:t xml:space="preserve">ия соответствующих пакетов ИД. При наименовании указанных подпапок (и имен пакетов, записываемых в Реестре) дополнительно к номеру комплекта рабочих чертежей добавляется номер/номера соответствующих листов и сокращенное название строительного конструктива.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Требуемые сроки подготовки и размещения на сетевом ресурсе комплекта ИД в электронном виде для проверки и согласования: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для ИД, оформляемой для освидетельствования (приемки) работ, оказывающих влияние на безопасность объекта (скрытые работы, ответственные конструкции, участки сетей инженерно-технического обеспечения), – за 3 (три) рабочих дня до даты освидетельствования;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по ИД, оформляемой для приемки работ по актам КС-2 или по актам приемки объемов фактически выполненных работ за отчетный период (календарный месяц), – за 3 (три) рабочих дня до даты предъявления указанных актов;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для сводной (сдаточной) ИД по полностью готовым строительным конструктивам или функционально-технологическим узлам (системам) –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не позднее 5 (пяти) рабочих дней со дня сдачи-приемки полностью готового строительного конструктива и не</w:t>
      </w:r>
      <w:r>
        <w:rPr>
          <w:sz w:val="24"/>
          <w:szCs w:val="24"/>
        </w:rPr>
        <w:t xml:space="preserve"> позднее 3 (трех) рабочих дней до дня сдачи-приемки тех строительных конструктивов, завершенного монтажом оборудования или функционально-технологического узла (системы), приемка которых должна осуществляться специализированными подкомиссиями (далее – СПК);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для ИД по результатам пусконаладочных работ – не позднее 5 (пяти) рабочих дней после индивидуальных испытаний оборудования или функционально-технологического узла.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Относящаяся к оборудованию заводская сопроводительная документация в бумажном виде, представля</w:t>
      </w:r>
      <w:r>
        <w:rPr>
          <w:sz w:val="24"/>
          <w:szCs w:val="24"/>
        </w:rPr>
        <w:t xml:space="preserve">емая поставщиком вместе с оборудованием, не подлежит сканированию для перевода в электронный формат, но наименование каждого отдельного документа из состава такой документации должно быть отражено в Реестре соответствующего комплекта ИД на сетевом ресурсе.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Передача указанной документации в адрес Заказчика должна осуществляться не позднее 3 (трех) рабочих дней до дня сдачи-приемки (проведения СПК) завершенного монтажом оборудования или функционально-технологического узла (системы).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ИД (с соответствующим Реестром), не относящаяся к каким-то конкретным рабочим чертежам, которая ведется в течение всего периода строительства, а именно: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документация пооперационного строительного контроля – журналы работ (общий, специальные, авторского надзора, входного контроля);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ИД по геодезии – акты</w:t>
      </w:r>
      <w:r>
        <w:rPr>
          <w:sz w:val="24"/>
          <w:szCs w:val="24"/>
        </w:rPr>
        <w:t xml:space="preserve"> освидетельствования геодезической разбивочной основы для строительства, разбивки осей объекта капитального строительства на местности, Протоколы (или журнал) регистрации и переноса монтажных знаков, марок, ориентиров и реперов для геодезического контроля;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ИД по мониторингу за деформациями, осадками и кренами возводимых зданий и сооружений в период строительства;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ИД по геотехническому мониторингу земляных масс, грунтовых оснований, пластов, насыпей, склонов, инклинометрии скважин, сейсмометрии,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будет подлежать передаче от Технического заказчика (а в случае отсутствия Технического заказчика – от Подрядчика) в адре</w:t>
      </w:r>
      <w:r>
        <w:rPr>
          <w:sz w:val="24"/>
          <w:szCs w:val="24"/>
        </w:rPr>
        <w:t xml:space="preserve">с Заказчика единым комплектом в бумажном виде на стадии завершения строительства (реконструкции, технического перевооружения) не позднее 5 (пяти) рабочих дней после получения по результатам проверки органом государственного строительного надзора заключения</w:t>
      </w:r>
      <w:r>
        <w:rPr>
          <w:rStyle w:val="966"/>
          <w:sz w:val="24"/>
          <w:szCs w:val="24"/>
        </w:rPr>
        <w:footnoteReference w:id="7"/>
      </w:r>
      <w:r>
        <w:rPr>
          <w:sz w:val="24"/>
          <w:szCs w:val="24"/>
        </w:rPr>
        <w:t xml:space="preserve"> о соответствии законченного строительством, реконструкцией объекта капитального строительства требованиям технических регламентов, иных нормативных правовых актов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 проектной документации, в том числе требованиям в отношении энергетической эффективности и требованиям в отношении оснащенности объектов капитального строительства приборами учета используемых энергетических ресурсов.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Требования к ведению исполнительной документации в форме электронных документов по пунктам 4, 5, 9 приложения № 2 к приказу Минст</w:t>
      </w:r>
      <w:r>
        <w:rPr>
          <w:sz w:val="24"/>
          <w:szCs w:val="24"/>
        </w:rPr>
        <w:t xml:space="preserve">роя России от 16.05.2023 № 344 «Об утверждении состава и порядка ведения исполнительной документации при строительстве, реконструкции, капитальном ремонте объектов капитального строительства» будут применяются после реализации соответствующего функционала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информационных системах Группы РусГидро, а также размещения новой xml-схемы на официальном сайте Министерства строительства и жилищно-коммунального хозяйства Российской Федерации в сети Интернет.</w:t>
      </w: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1559" w:right="0" w:hanging="155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Приложение: формы Реестров исполнительной документации для разделов </w:t>
      </w:r>
      <w:r>
        <w:rPr>
          <w:sz w:val="24"/>
          <w:szCs w:val="24"/>
        </w:rPr>
        <w:t xml:space="preserve">Р-1, Р-2, в электронном виде (формат Excel).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1701" w:hanging="1701"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1701" w:hanging="1701"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4755" w:type="pct"/>
        <w:tblInd w:w="107" w:type="dxa"/>
        <w:tblLook w:val="0000" w:firstRow="0" w:lastRow="0" w:firstColumn="0" w:lastColumn="0" w:noHBand="0" w:noVBand="0"/>
      </w:tblPr>
      <w:tblGrid>
        <w:gridCol w:w="4651"/>
        <w:gridCol w:w="4719"/>
      </w:tblGrid>
      <w:tr>
        <w:tblPrEx/>
        <w:trPr/>
        <w:tc>
          <w:tcPr>
            <w:tcW w:w="2482" w:type="pct"/>
            <w:textDirection w:val="lrTb"/>
            <w:noWrap w:val="false"/>
          </w:tcPr>
          <w:p>
            <w:pPr>
              <w:spacing w:after="20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Заказчик: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2518" w:type="pct"/>
            <w:textDirection w:val="lrTb"/>
            <w:noWrap w:val="false"/>
          </w:tcPr>
          <w:p>
            <w:pPr>
              <w:ind w:left="348"/>
              <w:spacing w:after="200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Подрядчик:</w: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</w:r>
            <w:r>
              <w:rPr>
                <w:rFonts w:eastAsia="Calibri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2482" w:type="pct"/>
            <w:textDirection w:val="lrTb"/>
            <w:noWrap w:val="false"/>
          </w:tcPr>
          <w:p>
            <w:pPr>
              <w:spacing w:after="200"/>
              <w:rPr>
                <w:rFonts w:ascii="Calibri" w:hAnsi="Calibri" w:eastAsia="Calibri"/>
                <w:sz w:val="24"/>
                <w:szCs w:val="24"/>
              </w:rPr>
            </w:pPr>
            <w:r>
              <w:rPr>
                <w:rFonts w:ascii="Calibri" w:hAnsi="Calibri" w:eastAsia="Calibri"/>
                <w:sz w:val="24"/>
                <w:szCs w:val="24"/>
                <w:lang w:eastAsia="en-US"/>
              </w:rPr>
            </w:r>
            <w:r>
              <w:rPr>
                <w:rFonts w:ascii="Calibri" w:hAnsi="Calibri" w:eastAsia="Calibri"/>
                <w:sz w:val="24"/>
                <w:szCs w:val="24"/>
                <w:lang w:eastAsia="en-US"/>
              </w:rPr>
            </w:r>
            <w:r>
              <w:rPr>
                <w:rFonts w:ascii="Calibri" w:hAnsi="Calibri" w:eastAsia="Calibri"/>
                <w:sz w:val="24"/>
                <w:szCs w:val="24"/>
              </w:rPr>
            </w:r>
          </w:p>
          <w:p>
            <w:pPr>
              <w:spacing w:after="200"/>
              <w:rPr>
                <w:rFonts w:ascii="Calibri" w:hAnsi="Calibri" w:eastAsia="Calibri"/>
                <w:sz w:val="24"/>
                <w:szCs w:val="24"/>
              </w:rPr>
            </w:pPr>
            <w:r>
              <w:rPr>
                <w:rFonts w:ascii="Calibri" w:hAnsi="Calibri" w:eastAsia="Calibri"/>
                <w:sz w:val="24"/>
                <w:szCs w:val="24"/>
                <w:lang w:eastAsia="en-US"/>
              </w:rPr>
              <w:t xml:space="preserve">_______________ / _______________ </w:t>
            </w:r>
            <w:r>
              <w:rPr>
                <w:rFonts w:ascii="Calibri" w:hAnsi="Calibri" w:eastAsia="Calibri"/>
                <w:sz w:val="24"/>
                <w:szCs w:val="24"/>
                <w:lang w:eastAsia="en-US"/>
              </w:rPr>
            </w:r>
            <w:r>
              <w:rPr>
                <w:rFonts w:ascii="Calibri" w:hAnsi="Calibri" w:eastAsia="Calibri"/>
                <w:sz w:val="24"/>
                <w:szCs w:val="24"/>
              </w:rPr>
            </w:r>
          </w:p>
        </w:tc>
        <w:tc>
          <w:tcPr>
            <w:tcW w:w="2518" w:type="pct"/>
            <w:textDirection w:val="lrTb"/>
            <w:noWrap w:val="false"/>
          </w:tcPr>
          <w:p>
            <w:pPr>
              <w:ind w:left="348"/>
              <w:spacing w:after="200"/>
              <w:rPr>
                <w:rFonts w:ascii="Calibri" w:hAnsi="Calibri" w:eastAsia="Calibri"/>
                <w:sz w:val="24"/>
                <w:szCs w:val="24"/>
              </w:rPr>
            </w:pPr>
            <w:r>
              <w:rPr>
                <w:rFonts w:ascii="Calibri" w:hAnsi="Calibri" w:eastAsia="Calibri"/>
                <w:sz w:val="24"/>
                <w:szCs w:val="24"/>
                <w:lang w:eastAsia="en-US"/>
              </w:rPr>
            </w:r>
            <w:r>
              <w:rPr>
                <w:rFonts w:ascii="Calibri" w:hAnsi="Calibri" w:eastAsia="Calibri"/>
                <w:sz w:val="24"/>
                <w:szCs w:val="24"/>
                <w:lang w:eastAsia="en-US"/>
              </w:rPr>
            </w:r>
            <w:r>
              <w:rPr>
                <w:rFonts w:ascii="Calibri" w:hAnsi="Calibri" w:eastAsia="Calibri"/>
                <w:sz w:val="24"/>
                <w:szCs w:val="24"/>
              </w:rPr>
            </w:r>
          </w:p>
          <w:p>
            <w:pPr>
              <w:ind w:left="348"/>
              <w:spacing w:after="200"/>
              <w:rPr>
                <w:rFonts w:ascii="Calibri" w:hAnsi="Calibri" w:eastAsia="Calibri"/>
                <w:sz w:val="24"/>
                <w:szCs w:val="24"/>
              </w:rPr>
            </w:pPr>
            <w:r>
              <w:rPr>
                <w:rFonts w:ascii="Calibri" w:hAnsi="Calibri" w:eastAsia="Calibri"/>
                <w:sz w:val="24"/>
                <w:szCs w:val="24"/>
                <w:lang w:eastAsia="en-US"/>
              </w:rPr>
              <w:t xml:space="preserve">_______________ / _______________ </w:t>
            </w:r>
            <w:r>
              <w:rPr>
                <w:rFonts w:ascii="Calibri" w:hAnsi="Calibri" w:eastAsia="Calibri"/>
                <w:sz w:val="24"/>
                <w:szCs w:val="24"/>
                <w:lang w:eastAsia="en-US"/>
              </w:rPr>
            </w:r>
            <w:r>
              <w:rPr>
                <w:rFonts w:ascii="Calibri" w:hAnsi="Calibri" w:eastAsia="Calibri"/>
                <w:sz w:val="24"/>
                <w:szCs w:val="24"/>
              </w:rPr>
            </w:r>
          </w:p>
        </w:tc>
      </w:tr>
    </w:tbl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sectPr>
      <w:footerReference w:type="default" r:id="rId9"/>
      <w:footnotePr/>
      <w:endnotePr/>
      <w:type w:val="nextPage"/>
      <w:pgSz w:w="11906" w:h="16838" w:orient="portrait"/>
      <w:pgMar w:top="1134" w:right="851" w:bottom="1134" w:left="1418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Tahoma">
    <w:panose1 w:val="020B0604030504040204"/>
  </w:font>
  <w:font w:name="Verdan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33"/>
      <w:jc w:val="center"/>
      <w:rPr>
        <w:sz w:val="24"/>
        <w:szCs w:val="24"/>
      </w:rPr>
    </w:pPr>
    <w:r>
      <w:rPr>
        <w:sz w:val="24"/>
        <w:szCs w:val="24"/>
      </w:rPr>
      <w:fldChar w:fldCharType="begin"/>
    </w:r>
    <w:r>
      <w:rPr>
        <w:sz w:val="24"/>
        <w:szCs w:val="24"/>
      </w:rPr>
      <w:instrText xml:space="preserve">PAGE   \* MERGEFORMAT</w:instrText>
    </w:r>
    <w:r>
      <w:rPr>
        <w:sz w:val="24"/>
        <w:szCs w:val="24"/>
      </w:rPr>
      <w:fldChar w:fldCharType="separate"/>
    </w:r>
    <w:r>
      <w:rPr>
        <w:sz w:val="24"/>
        <w:szCs w:val="24"/>
      </w:rPr>
      <w:t xml:space="preserve">3</w:t>
    </w:r>
    <w:r>
      <w:rPr>
        <w:sz w:val="24"/>
        <w:szCs w:val="24"/>
      </w:rPr>
      <w:fldChar w:fldCharType="end"/>
    </w:r>
    <w:r>
      <w:rPr>
        <w:sz w:val="24"/>
        <w:szCs w:val="24"/>
      </w:rPr>
    </w:r>
    <w:r>
      <w:rPr>
        <w:sz w:val="24"/>
        <w:szCs w:val="24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  <w:footnote w:id="2">
    <w:p>
      <w:pPr>
        <w:pStyle w:val="964"/>
        <w:rPr>
          <w:sz w:val="18"/>
          <w:szCs w:val="18"/>
        </w:rPr>
      </w:pPr>
      <w:r>
        <w:rPr>
          <w:rStyle w:val="966"/>
          <w:sz w:val="18"/>
          <w:szCs w:val="18"/>
        </w:rPr>
        <w:footnoteRef/>
      </w:r>
      <w:r>
        <w:rPr>
          <w:sz w:val="18"/>
          <w:szCs w:val="18"/>
        </w:rPr>
        <w:t xml:space="preserve"> Далее – ПО.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3">
    <w:p>
      <w:pPr>
        <w:pStyle w:val="964"/>
      </w:pPr>
      <w:r>
        <w:rPr>
          <w:rStyle w:val="966"/>
        </w:rPr>
        <w:footnoteRef/>
      </w:r>
      <w:r>
        <w:t xml:space="preserve"> </w:t>
      </w:r>
      <w:r>
        <w:rPr>
          <w:sz w:val="18"/>
          <w:szCs w:val="18"/>
        </w:rPr>
        <w:t xml:space="preserve">Далее соответственно Заказчик, Технический заказчик и Подрядчик.</w:t>
      </w:r>
      <w:r/>
    </w:p>
  </w:footnote>
  <w:footnote w:id="4">
    <w:p>
      <w:pPr>
        <w:pStyle w:val="964"/>
        <w:jc w:val="both"/>
      </w:pPr>
      <w:r>
        <w:rPr>
          <w:rStyle w:val="966"/>
        </w:rPr>
        <w:footnoteRef/>
      </w:r>
      <w:r>
        <w:t xml:space="preserve"> </w:t>
      </w:r>
      <w:r>
        <w:rPr>
          <w:sz w:val="18"/>
          <w:szCs w:val="18"/>
        </w:rPr>
        <w:t xml:space="preserve">Далее также ИД. Состав исполнительной документации должен соответствовать Требованиям к составу и порядку ведения исполнительной документации при строительстве, реконструкции, капитально</w:t>
      </w:r>
      <w:r>
        <w:rPr>
          <w:sz w:val="18"/>
          <w:szCs w:val="18"/>
        </w:rPr>
        <w:t xml:space="preserve">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обеспечения, утвержденным приказом Ростехнадзора от 26.12.2006 № 1128, и перечню ИД, указанному </w:t>
      </w:r>
      <w:r>
        <w:rPr>
          <w:sz w:val="18"/>
          <w:szCs w:val="18"/>
        </w:rPr>
        <w:t xml:space="preserve">в проектной и рабочей докум</w:t>
      </w:r>
      <w:r>
        <w:rPr>
          <w:sz w:val="18"/>
          <w:szCs w:val="18"/>
        </w:rPr>
        <w:t xml:space="preserve">ентации на реконструкцию и техническое перевооружение объекта капитального строительства, а также требованиям федеральных норм и правил (ФНП), правил, руководящих документов (РД), сводов правил (СП), строительных норм и правил (СНиП), технических регламент</w:t>
      </w:r>
      <w:r>
        <w:rPr>
          <w:sz w:val="18"/>
          <w:szCs w:val="18"/>
        </w:rPr>
        <w:t xml:space="preserve">ов (ТР), национальных стандартов (ГОСТ Р), иных нормативно-правовых и нормативно-технических документов Российской Федерации, как непосредственно указанных в проектной и рабочей документации, так и не указанных, но применимых в отношении выполняемых работ.</w:t>
      </w:r>
      <w:r/>
    </w:p>
  </w:footnote>
  <w:footnote w:id="5">
    <w:p>
      <w:pPr>
        <w:pStyle w:val="964"/>
        <w:rPr>
          <w:sz w:val="18"/>
          <w:szCs w:val="18"/>
        </w:rPr>
      </w:pPr>
      <w:r>
        <w:rPr>
          <w:rStyle w:val="966"/>
          <w:sz w:val="18"/>
          <w:szCs w:val="18"/>
        </w:rPr>
        <w:footnoteRef/>
      </w:r>
      <w:r>
        <w:rPr>
          <w:sz w:val="18"/>
          <w:szCs w:val="18"/>
        </w:rPr>
        <w:t xml:space="preserve"> К формату размещения на сетевом ресурсе исполнительной документации относятся:</w:t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pStyle w:val="964"/>
        <w:numPr>
          <w:ilvl w:val="0"/>
          <w:numId w:val="3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электронные копии бумажной версии документации с использованием программно-технических средств;</w:t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pStyle w:val="964"/>
        <w:numPr>
          <w:ilvl w:val="0"/>
          <w:numId w:val="3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копии в электронной форме в стандартных форматах, предусматривающих хранение графических изображений </w:t>
      </w:r>
      <w:r>
        <w:rPr>
          <w:sz w:val="18"/>
          <w:szCs w:val="18"/>
        </w:rPr>
        <w:t xml:space="preserve">в виде векторной графики, допускающих редактирование с применением программного обеспечения; </w:t>
      </w:r>
      <w:r>
        <w:rPr>
          <w:sz w:val="18"/>
          <w:szCs w:val="18"/>
        </w:rPr>
        <w:t xml:space="preserve">в электронной форме должны быть отражены все изменения и корректировки, выполненные в процессе проведения работ и соответствующие выполненному монтажу на оборудовании и устройствах, согласованные </w:t>
      </w:r>
      <w:r>
        <w:rPr>
          <w:sz w:val="18"/>
          <w:szCs w:val="18"/>
        </w:rPr>
        <w:t xml:space="preserve">и заверенные проектировщиком. Обязанность по формированию электронных копий возлагается на Подрядчика.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6">
    <w:p>
      <w:pPr>
        <w:pStyle w:val="964"/>
        <w:jc w:val="both"/>
      </w:pPr>
      <w:r>
        <w:rPr>
          <w:rStyle w:val="966"/>
        </w:rPr>
        <w:footnoteRef/>
      </w:r>
      <w:r>
        <w:t xml:space="preserve"> </w:t>
      </w:r>
      <w:r>
        <w:rPr>
          <w:sz w:val="18"/>
          <w:szCs w:val="18"/>
        </w:rPr>
        <w:t xml:space="preserve">Подрядчик уведомляет Заказчика в случае реализации инвестиционного проекта без участия Технического заказчика </w:t>
      </w:r>
      <w:r>
        <w:rPr>
          <w:sz w:val="18"/>
          <w:szCs w:val="18"/>
        </w:rPr>
        <w:t xml:space="preserve">в качестве стороны. Для данных инвестиционных проектов (при наличии ссылки на эту сноску далее по тексту) действия Технического заказчика выполняет Заказчик.</w:t>
      </w:r>
      <w:r/>
    </w:p>
  </w:footnote>
  <w:footnote w:id="7">
    <w:p>
      <w:pPr>
        <w:pStyle w:val="964"/>
        <w:jc w:val="both"/>
      </w:pPr>
      <w:r>
        <w:rPr>
          <w:rStyle w:val="966"/>
        </w:rPr>
        <w:footnoteRef/>
      </w:r>
      <w:r>
        <w:t xml:space="preserve"> В случае если предусмотрено осуществление государственного строительного надзора в соответствии </w:t>
      </w:r>
      <w:r>
        <w:br w:type="textWrapping" w:clear="all"/>
        <w:t xml:space="preserve">с «Градостроительным кодексом </w:t>
      </w:r>
      <w:r>
        <w:t xml:space="preserve">Российской Федерации» от 29.12.2004 № 190-ФЗ и постановлением Правительства Российской Федерации от 01.12.2021 № 2161 (ред. от 30.03.2023) «Об утверждении общих требований к организации и осуществлению регионального государственного строительного надзора».</w:t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8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ascii="Wingdings" w:hAnsi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</w:pPr>
      <w:rPr>
        <w:rFonts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08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08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44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44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80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16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6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20" w:hanging="216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67">
    <w:name w:val="Heading 1 Char"/>
    <w:basedOn w:val="809"/>
    <w:link w:val="800"/>
    <w:uiPriority w:val="9"/>
    <w:rPr>
      <w:rFonts w:ascii="Arial" w:hAnsi="Arial" w:eastAsia="Arial" w:cs="Arial"/>
      <w:sz w:val="40"/>
      <w:szCs w:val="40"/>
    </w:rPr>
  </w:style>
  <w:style w:type="character" w:styleId="768">
    <w:name w:val="Heading 2 Char"/>
    <w:basedOn w:val="809"/>
    <w:link w:val="801"/>
    <w:uiPriority w:val="9"/>
    <w:rPr>
      <w:rFonts w:ascii="Arial" w:hAnsi="Arial" w:eastAsia="Arial" w:cs="Arial"/>
      <w:sz w:val="34"/>
    </w:rPr>
  </w:style>
  <w:style w:type="character" w:styleId="769">
    <w:name w:val="Heading 3 Char"/>
    <w:basedOn w:val="809"/>
    <w:link w:val="802"/>
    <w:uiPriority w:val="9"/>
    <w:rPr>
      <w:rFonts w:ascii="Arial" w:hAnsi="Arial" w:eastAsia="Arial" w:cs="Arial"/>
      <w:sz w:val="30"/>
      <w:szCs w:val="30"/>
    </w:rPr>
  </w:style>
  <w:style w:type="character" w:styleId="770">
    <w:name w:val="Heading 4 Char"/>
    <w:basedOn w:val="809"/>
    <w:link w:val="803"/>
    <w:uiPriority w:val="9"/>
    <w:rPr>
      <w:rFonts w:ascii="Arial" w:hAnsi="Arial" w:eastAsia="Arial" w:cs="Arial"/>
      <w:b/>
      <w:bCs/>
      <w:sz w:val="26"/>
      <w:szCs w:val="26"/>
    </w:rPr>
  </w:style>
  <w:style w:type="character" w:styleId="771">
    <w:name w:val="Heading 5 Char"/>
    <w:basedOn w:val="809"/>
    <w:link w:val="804"/>
    <w:uiPriority w:val="9"/>
    <w:rPr>
      <w:rFonts w:ascii="Arial" w:hAnsi="Arial" w:eastAsia="Arial" w:cs="Arial"/>
      <w:b/>
      <w:bCs/>
      <w:sz w:val="24"/>
      <w:szCs w:val="24"/>
    </w:rPr>
  </w:style>
  <w:style w:type="character" w:styleId="772">
    <w:name w:val="Heading 6 Char"/>
    <w:basedOn w:val="809"/>
    <w:link w:val="805"/>
    <w:uiPriority w:val="9"/>
    <w:rPr>
      <w:rFonts w:ascii="Arial" w:hAnsi="Arial" w:eastAsia="Arial" w:cs="Arial"/>
      <w:b/>
      <w:bCs/>
      <w:sz w:val="22"/>
      <w:szCs w:val="22"/>
    </w:rPr>
  </w:style>
  <w:style w:type="character" w:styleId="773">
    <w:name w:val="Heading 7 Char"/>
    <w:basedOn w:val="809"/>
    <w:link w:val="80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74">
    <w:name w:val="Heading 8 Char"/>
    <w:basedOn w:val="809"/>
    <w:link w:val="807"/>
    <w:uiPriority w:val="9"/>
    <w:rPr>
      <w:rFonts w:ascii="Arial" w:hAnsi="Arial" w:eastAsia="Arial" w:cs="Arial"/>
      <w:i/>
      <w:iCs/>
      <w:sz w:val="22"/>
      <w:szCs w:val="22"/>
    </w:rPr>
  </w:style>
  <w:style w:type="character" w:styleId="775">
    <w:name w:val="Heading 9 Char"/>
    <w:basedOn w:val="809"/>
    <w:link w:val="808"/>
    <w:uiPriority w:val="9"/>
    <w:rPr>
      <w:rFonts w:ascii="Arial" w:hAnsi="Arial" w:eastAsia="Arial" w:cs="Arial"/>
      <w:i/>
      <w:iCs/>
      <w:sz w:val="21"/>
      <w:szCs w:val="21"/>
    </w:rPr>
  </w:style>
  <w:style w:type="character" w:styleId="776">
    <w:name w:val="Title Char"/>
    <w:basedOn w:val="809"/>
    <w:link w:val="823"/>
    <w:uiPriority w:val="10"/>
    <w:rPr>
      <w:sz w:val="48"/>
      <w:szCs w:val="48"/>
    </w:rPr>
  </w:style>
  <w:style w:type="character" w:styleId="777">
    <w:name w:val="Subtitle Char"/>
    <w:basedOn w:val="809"/>
    <w:link w:val="825"/>
    <w:uiPriority w:val="11"/>
    <w:rPr>
      <w:sz w:val="24"/>
      <w:szCs w:val="24"/>
    </w:rPr>
  </w:style>
  <w:style w:type="character" w:styleId="778">
    <w:name w:val="Quote Char"/>
    <w:link w:val="827"/>
    <w:uiPriority w:val="29"/>
    <w:rPr>
      <w:i/>
    </w:rPr>
  </w:style>
  <w:style w:type="character" w:styleId="779">
    <w:name w:val="Intense Quote Char"/>
    <w:link w:val="829"/>
    <w:uiPriority w:val="30"/>
    <w:rPr>
      <w:i/>
    </w:rPr>
  </w:style>
  <w:style w:type="table" w:styleId="780">
    <w:name w:val="Plain Table 1"/>
    <w:basedOn w:val="81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1">
    <w:name w:val="Plain Table 2"/>
    <w:basedOn w:val="81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2">
    <w:name w:val="Plain Table 3"/>
    <w:basedOn w:val="81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83">
    <w:name w:val="Plain Table 4"/>
    <w:basedOn w:val="81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Plain Table 5"/>
    <w:basedOn w:val="81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85">
    <w:name w:val="Grid Table 1 Light"/>
    <w:basedOn w:val="8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Grid Table 2"/>
    <w:basedOn w:val="8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3"/>
    <w:basedOn w:val="8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4"/>
    <w:basedOn w:val="81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9">
    <w:name w:val="Grid Table 5 Dark"/>
    <w:basedOn w:val="8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90">
    <w:name w:val="Grid Table 6 Colorful"/>
    <w:basedOn w:val="8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1">
    <w:name w:val="Grid Table 7 Colorful"/>
    <w:basedOn w:val="8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1 Light"/>
    <w:basedOn w:val="81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List Table 2"/>
    <w:basedOn w:val="8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4">
    <w:name w:val="List Table 3"/>
    <w:basedOn w:val="8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"/>
    <w:basedOn w:val="8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5 Dark"/>
    <w:basedOn w:val="8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6 Colorful"/>
    <w:basedOn w:val="8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8">
    <w:name w:val="List Table 7 Colorful"/>
    <w:basedOn w:val="8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paragraph" w:styleId="799" w:default="1">
    <w:name w:val="Normal"/>
    <w:qFormat/>
    <w:rPr>
      <w:rFonts w:ascii="Times New Roman" w:hAnsi="Times New Roman" w:eastAsia="Times New Roman"/>
      <w:sz w:val="28"/>
      <w:szCs w:val="28"/>
    </w:rPr>
  </w:style>
  <w:style w:type="paragraph" w:styleId="800">
    <w:name w:val="Heading 1"/>
    <w:basedOn w:val="799"/>
    <w:next w:val="799"/>
    <w:link w:val="812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801">
    <w:name w:val="Heading 2"/>
    <w:basedOn w:val="799"/>
    <w:next w:val="799"/>
    <w:link w:val="81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802">
    <w:name w:val="Heading 3"/>
    <w:basedOn w:val="799"/>
    <w:next w:val="799"/>
    <w:link w:val="81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803">
    <w:name w:val="Heading 4"/>
    <w:basedOn w:val="799"/>
    <w:next w:val="799"/>
    <w:link w:val="81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804">
    <w:name w:val="Heading 5"/>
    <w:basedOn w:val="799"/>
    <w:next w:val="799"/>
    <w:link w:val="81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805">
    <w:name w:val="Heading 6"/>
    <w:basedOn w:val="799"/>
    <w:next w:val="799"/>
    <w:link w:val="81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806">
    <w:name w:val="Heading 7"/>
    <w:basedOn w:val="799"/>
    <w:next w:val="799"/>
    <w:link w:val="81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07">
    <w:name w:val="Heading 8"/>
    <w:basedOn w:val="799"/>
    <w:next w:val="799"/>
    <w:link w:val="81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808">
    <w:name w:val="Heading 9"/>
    <w:basedOn w:val="799"/>
    <w:next w:val="799"/>
    <w:link w:val="82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09" w:default="1">
    <w:name w:val="Default Paragraph Font"/>
    <w:uiPriority w:val="1"/>
    <w:semiHidden/>
    <w:unhideWhenUsed/>
  </w:style>
  <w:style w:type="table" w:styleId="81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1" w:default="1">
    <w:name w:val="No List"/>
    <w:uiPriority w:val="99"/>
    <w:semiHidden/>
    <w:unhideWhenUsed/>
  </w:style>
  <w:style w:type="character" w:styleId="812" w:customStyle="1">
    <w:name w:val="Заголовок 1 Знак"/>
    <w:link w:val="800"/>
    <w:uiPriority w:val="9"/>
    <w:rPr>
      <w:rFonts w:ascii="Arial" w:hAnsi="Arial" w:eastAsia="Arial" w:cs="Arial"/>
      <w:sz w:val="40"/>
      <w:szCs w:val="40"/>
    </w:rPr>
  </w:style>
  <w:style w:type="character" w:styleId="813" w:customStyle="1">
    <w:name w:val="Заголовок 2 Знак"/>
    <w:link w:val="801"/>
    <w:uiPriority w:val="9"/>
    <w:rPr>
      <w:rFonts w:ascii="Arial" w:hAnsi="Arial" w:eastAsia="Arial" w:cs="Arial"/>
      <w:sz w:val="34"/>
    </w:rPr>
  </w:style>
  <w:style w:type="character" w:styleId="814" w:customStyle="1">
    <w:name w:val="Заголовок 3 Знак"/>
    <w:link w:val="802"/>
    <w:uiPriority w:val="9"/>
    <w:rPr>
      <w:rFonts w:ascii="Arial" w:hAnsi="Arial" w:eastAsia="Arial" w:cs="Arial"/>
      <w:sz w:val="30"/>
      <w:szCs w:val="30"/>
    </w:rPr>
  </w:style>
  <w:style w:type="character" w:styleId="815" w:customStyle="1">
    <w:name w:val="Заголовок 4 Знак"/>
    <w:link w:val="803"/>
    <w:uiPriority w:val="9"/>
    <w:rPr>
      <w:rFonts w:ascii="Arial" w:hAnsi="Arial" w:eastAsia="Arial" w:cs="Arial"/>
      <w:b/>
      <w:bCs/>
      <w:sz w:val="26"/>
      <w:szCs w:val="26"/>
    </w:rPr>
  </w:style>
  <w:style w:type="character" w:styleId="816" w:customStyle="1">
    <w:name w:val="Заголовок 5 Знак"/>
    <w:link w:val="804"/>
    <w:uiPriority w:val="9"/>
    <w:rPr>
      <w:rFonts w:ascii="Arial" w:hAnsi="Arial" w:eastAsia="Arial" w:cs="Arial"/>
      <w:b/>
      <w:bCs/>
      <w:sz w:val="24"/>
      <w:szCs w:val="24"/>
    </w:rPr>
  </w:style>
  <w:style w:type="character" w:styleId="817" w:customStyle="1">
    <w:name w:val="Заголовок 6 Знак"/>
    <w:link w:val="805"/>
    <w:uiPriority w:val="9"/>
    <w:rPr>
      <w:rFonts w:ascii="Arial" w:hAnsi="Arial" w:eastAsia="Arial" w:cs="Arial"/>
      <w:b/>
      <w:bCs/>
      <w:sz w:val="22"/>
      <w:szCs w:val="22"/>
    </w:rPr>
  </w:style>
  <w:style w:type="character" w:styleId="818" w:customStyle="1">
    <w:name w:val="Заголовок 7 Знак"/>
    <w:link w:val="80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19" w:customStyle="1">
    <w:name w:val="Заголовок 8 Знак"/>
    <w:link w:val="807"/>
    <w:uiPriority w:val="9"/>
    <w:rPr>
      <w:rFonts w:ascii="Arial" w:hAnsi="Arial" w:eastAsia="Arial" w:cs="Arial"/>
      <w:i/>
      <w:iCs/>
      <w:sz w:val="22"/>
      <w:szCs w:val="22"/>
    </w:rPr>
  </w:style>
  <w:style w:type="character" w:styleId="820" w:customStyle="1">
    <w:name w:val="Заголовок 9 Знак"/>
    <w:link w:val="808"/>
    <w:uiPriority w:val="9"/>
    <w:rPr>
      <w:rFonts w:ascii="Arial" w:hAnsi="Arial" w:eastAsia="Arial" w:cs="Arial"/>
      <w:i/>
      <w:iCs/>
      <w:sz w:val="21"/>
      <w:szCs w:val="21"/>
    </w:rPr>
  </w:style>
  <w:style w:type="paragraph" w:styleId="821">
    <w:name w:val="List Paragraph"/>
    <w:basedOn w:val="799"/>
    <w:uiPriority w:val="34"/>
    <w:qFormat/>
    <w:pPr>
      <w:contextualSpacing/>
      <w:ind w:left="720"/>
    </w:pPr>
  </w:style>
  <w:style w:type="paragraph" w:styleId="822">
    <w:name w:val="No Spacing"/>
    <w:uiPriority w:val="1"/>
    <w:qFormat/>
    <w:rPr>
      <w:rFonts w:eastAsia="Times New Roman"/>
      <w:sz w:val="22"/>
      <w:szCs w:val="22"/>
      <w:lang w:eastAsia="en-US"/>
    </w:rPr>
  </w:style>
  <w:style w:type="paragraph" w:styleId="823">
    <w:name w:val="Title"/>
    <w:basedOn w:val="799"/>
    <w:next w:val="799"/>
    <w:link w:val="82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24" w:customStyle="1">
    <w:name w:val="Заголовок Знак"/>
    <w:link w:val="823"/>
    <w:uiPriority w:val="10"/>
    <w:rPr>
      <w:sz w:val="48"/>
      <w:szCs w:val="48"/>
    </w:rPr>
  </w:style>
  <w:style w:type="paragraph" w:styleId="825">
    <w:name w:val="Subtitle"/>
    <w:basedOn w:val="799"/>
    <w:next w:val="799"/>
    <w:link w:val="826"/>
    <w:uiPriority w:val="11"/>
    <w:qFormat/>
    <w:pPr>
      <w:spacing w:before="200" w:after="200"/>
    </w:pPr>
    <w:rPr>
      <w:sz w:val="24"/>
      <w:szCs w:val="24"/>
    </w:rPr>
  </w:style>
  <w:style w:type="character" w:styleId="826" w:customStyle="1">
    <w:name w:val="Подзаголовок Знак"/>
    <w:link w:val="825"/>
    <w:uiPriority w:val="11"/>
    <w:rPr>
      <w:sz w:val="24"/>
      <w:szCs w:val="24"/>
    </w:rPr>
  </w:style>
  <w:style w:type="paragraph" w:styleId="827">
    <w:name w:val="Quote"/>
    <w:basedOn w:val="799"/>
    <w:next w:val="799"/>
    <w:link w:val="828"/>
    <w:uiPriority w:val="29"/>
    <w:qFormat/>
    <w:pPr>
      <w:ind w:left="720" w:right="720"/>
    </w:pPr>
    <w:rPr>
      <w:i/>
    </w:rPr>
  </w:style>
  <w:style w:type="character" w:styleId="828" w:customStyle="1">
    <w:name w:val="Цитата 2 Знак"/>
    <w:link w:val="827"/>
    <w:uiPriority w:val="29"/>
    <w:rPr>
      <w:i/>
    </w:rPr>
  </w:style>
  <w:style w:type="paragraph" w:styleId="829">
    <w:name w:val="Intense Quote"/>
    <w:basedOn w:val="799"/>
    <w:next w:val="799"/>
    <w:link w:val="830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30" w:customStyle="1">
    <w:name w:val="Выделенная цитата Знак"/>
    <w:link w:val="829"/>
    <w:uiPriority w:val="30"/>
    <w:rPr>
      <w:i/>
    </w:rPr>
  </w:style>
  <w:style w:type="paragraph" w:styleId="831">
    <w:name w:val="Header"/>
    <w:basedOn w:val="799"/>
    <w:link w:val="994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32" w:customStyle="1">
    <w:name w:val="Header Char"/>
    <w:uiPriority w:val="99"/>
  </w:style>
  <w:style w:type="paragraph" w:styleId="833">
    <w:name w:val="Footer"/>
    <w:basedOn w:val="799"/>
    <w:link w:val="995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34" w:customStyle="1">
    <w:name w:val="Footer Char"/>
    <w:uiPriority w:val="99"/>
  </w:style>
  <w:style w:type="paragraph" w:styleId="835">
    <w:name w:val="Caption"/>
    <w:basedOn w:val="799"/>
    <w:next w:val="799"/>
    <w:link w:val="836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styleId="836" w:customStyle="1">
    <w:name w:val="Caption Char"/>
    <w:uiPriority w:val="99"/>
  </w:style>
  <w:style w:type="table" w:styleId="837">
    <w:name w:val="Table Grid"/>
    <w:basedOn w:val="810"/>
    <w:uiPriority w:val="59"/>
    <w:tblPr/>
  </w:style>
  <w:style w:type="table" w:styleId="838" w:customStyle="1">
    <w:name w:val="Table Grid Light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9" w:customStyle="1">
    <w:name w:val="Таблица простая 11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0" w:customStyle="1">
    <w:name w:val="Таблица простая 21"/>
    <w:uiPriority w:val="59"/>
    <w:rPr>
      <w:lang w:eastAsia="zh-CN"/>
    </w:rPr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1" w:customStyle="1">
    <w:name w:val="Таблица простая 3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42" w:customStyle="1">
    <w:name w:val="Таблица простая 4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43" w:customStyle="1">
    <w:name w:val="Таблица простая 5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44" w:customStyle="1">
    <w:name w:val="Таблица-сетка 1 светл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5" w:customStyle="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6" w:customStyle="1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7" w:customStyle="1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8" w:customStyle="1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9" w:customStyle="1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0" w:customStyle="1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1" w:customStyle="1">
    <w:name w:val="Таблица-сетка 2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2" w:customStyle="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3" w:customStyle="1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4" w:customStyle="1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5" w:customStyle="1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6" w:customStyle="1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7" w:customStyle="1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8" w:customStyle="1">
    <w:name w:val="Таблица-сетка 3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9" w:customStyle="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0" w:customStyle="1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1" w:customStyle="1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2" w:customStyle="1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3" w:customStyle="1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4" w:customStyle="1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5" w:customStyle="1">
    <w:name w:val="Таблица-сетка 4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6" w:customStyle="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7" w:customStyle="1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8" w:customStyle="1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9" w:customStyle="1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0" w:customStyle="1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1" w:customStyle="1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2" w:customStyle="1">
    <w:name w:val="Таблица-сетк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873" w:customStyle="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874" w:customStyle="1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875" w:customStyle="1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876" w:customStyle="1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877" w:customStyle="1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878" w:customStyle="1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879" w:customStyle="1">
    <w:name w:val="Таблица-сетк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0" w:customStyle="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1" w:customStyle="1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2" w:customStyle="1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3" w:customStyle="1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4" w:customStyle="1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5" w:customStyle="1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6" w:customStyle="1">
    <w:name w:val="Таблица-сетк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7" w:customStyle="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8" w:customStyle="1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9" w:customStyle="1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0" w:customStyle="1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1" w:customStyle="1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2" w:customStyle="1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3" w:customStyle="1">
    <w:name w:val="Список-таблица 1 светлая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94" w:customStyle="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95" w:customStyle="1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96" w:customStyle="1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97" w:customStyle="1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98" w:customStyle="1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99" w:customStyle="1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00" w:customStyle="1">
    <w:name w:val="Список-таблица 2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1" w:customStyle="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2" w:customStyle="1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3" w:customStyle="1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4" w:customStyle="1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5" w:customStyle="1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6" w:customStyle="1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7" w:customStyle="1">
    <w:name w:val="Список-таблица 3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8" w:customStyle="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9" w:customStyle="1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0" w:customStyle="1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1" w:customStyle="1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2" w:customStyle="1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3" w:customStyle="1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4" w:customStyle="1">
    <w:name w:val="Список-таблица 4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5" w:customStyle="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6" w:customStyle="1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7" w:customStyle="1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8" w:customStyle="1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9" w:customStyle="1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0" w:customStyle="1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1" w:customStyle="1">
    <w:name w:val="Список-таблиц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922" w:customStyle="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923" w:customStyle="1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924" w:customStyle="1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925" w:customStyle="1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926" w:customStyle="1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927" w:customStyle="1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928" w:customStyle="1">
    <w:name w:val="Список-таблиц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9" w:customStyle="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0" w:customStyle="1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1" w:customStyle="1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2" w:customStyle="1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3" w:customStyle="1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4" w:customStyle="1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5" w:customStyle="1">
    <w:name w:val="Список-таблиц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6" w:customStyle="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7" w:customStyle="1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8" w:customStyle="1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9" w:customStyle="1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0" w:customStyle="1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1" w:customStyle="1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2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43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44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45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46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47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48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49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0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1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2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3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4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5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6" w:customStyle="1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7" w:customStyle="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8" w:customStyle="1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9" w:customStyle="1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60" w:customStyle="1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61" w:customStyle="1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62" w:customStyle="1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963">
    <w:name w:val="Hyperlink"/>
    <w:uiPriority w:val="99"/>
    <w:unhideWhenUsed/>
    <w:rPr>
      <w:color w:val="0000ff"/>
      <w:u w:val="single"/>
    </w:rPr>
  </w:style>
  <w:style w:type="paragraph" w:styleId="964">
    <w:name w:val="footnote text"/>
    <w:basedOn w:val="799"/>
    <w:link w:val="999"/>
    <w:uiPriority w:val="99"/>
    <w:semiHidden/>
    <w:unhideWhenUsed/>
    <w:rPr>
      <w:sz w:val="20"/>
      <w:szCs w:val="20"/>
    </w:rPr>
  </w:style>
  <w:style w:type="character" w:styleId="965" w:customStyle="1">
    <w:name w:val="Footnote Text Char"/>
    <w:uiPriority w:val="99"/>
    <w:rPr>
      <w:sz w:val="18"/>
    </w:rPr>
  </w:style>
  <w:style w:type="character" w:styleId="966">
    <w:name w:val="footnote reference"/>
    <w:uiPriority w:val="99"/>
    <w:semiHidden/>
    <w:unhideWhenUsed/>
    <w:rPr>
      <w:vertAlign w:val="superscript"/>
    </w:rPr>
  </w:style>
  <w:style w:type="paragraph" w:styleId="967">
    <w:name w:val="endnote text"/>
    <w:basedOn w:val="799"/>
    <w:link w:val="1000"/>
    <w:uiPriority w:val="99"/>
    <w:semiHidden/>
    <w:unhideWhenUsed/>
    <w:rPr>
      <w:sz w:val="20"/>
      <w:szCs w:val="20"/>
    </w:rPr>
  </w:style>
  <w:style w:type="character" w:styleId="968" w:customStyle="1">
    <w:name w:val="Endnote Text Char"/>
    <w:uiPriority w:val="99"/>
    <w:rPr>
      <w:sz w:val="20"/>
    </w:rPr>
  </w:style>
  <w:style w:type="character" w:styleId="969">
    <w:name w:val="endnote reference"/>
    <w:uiPriority w:val="99"/>
    <w:semiHidden/>
    <w:unhideWhenUsed/>
    <w:rPr>
      <w:vertAlign w:val="superscript"/>
    </w:rPr>
  </w:style>
  <w:style w:type="paragraph" w:styleId="970">
    <w:name w:val="toc 1"/>
    <w:basedOn w:val="799"/>
    <w:next w:val="799"/>
    <w:uiPriority w:val="39"/>
    <w:unhideWhenUsed/>
    <w:pPr>
      <w:spacing w:after="57"/>
    </w:pPr>
  </w:style>
  <w:style w:type="paragraph" w:styleId="971">
    <w:name w:val="toc 2"/>
    <w:basedOn w:val="799"/>
    <w:next w:val="799"/>
    <w:uiPriority w:val="39"/>
    <w:unhideWhenUsed/>
    <w:pPr>
      <w:ind w:left="283"/>
      <w:spacing w:after="57"/>
    </w:pPr>
  </w:style>
  <w:style w:type="paragraph" w:styleId="972">
    <w:name w:val="toc 3"/>
    <w:basedOn w:val="799"/>
    <w:next w:val="799"/>
    <w:uiPriority w:val="39"/>
    <w:unhideWhenUsed/>
    <w:pPr>
      <w:ind w:left="567"/>
      <w:spacing w:after="57"/>
    </w:pPr>
  </w:style>
  <w:style w:type="paragraph" w:styleId="973">
    <w:name w:val="toc 4"/>
    <w:basedOn w:val="799"/>
    <w:next w:val="799"/>
    <w:uiPriority w:val="39"/>
    <w:unhideWhenUsed/>
    <w:pPr>
      <w:ind w:left="850"/>
      <w:spacing w:after="57"/>
    </w:pPr>
  </w:style>
  <w:style w:type="paragraph" w:styleId="974">
    <w:name w:val="toc 5"/>
    <w:basedOn w:val="799"/>
    <w:next w:val="799"/>
    <w:uiPriority w:val="39"/>
    <w:unhideWhenUsed/>
    <w:pPr>
      <w:ind w:left="1134"/>
      <w:spacing w:after="57"/>
    </w:pPr>
  </w:style>
  <w:style w:type="paragraph" w:styleId="975">
    <w:name w:val="toc 6"/>
    <w:basedOn w:val="799"/>
    <w:next w:val="799"/>
    <w:uiPriority w:val="39"/>
    <w:unhideWhenUsed/>
    <w:pPr>
      <w:ind w:left="1417"/>
      <w:spacing w:after="57"/>
    </w:pPr>
  </w:style>
  <w:style w:type="paragraph" w:styleId="976">
    <w:name w:val="toc 7"/>
    <w:basedOn w:val="799"/>
    <w:next w:val="799"/>
    <w:uiPriority w:val="39"/>
    <w:unhideWhenUsed/>
    <w:pPr>
      <w:ind w:left="1701"/>
      <w:spacing w:after="57"/>
    </w:pPr>
  </w:style>
  <w:style w:type="paragraph" w:styleId="977">
    <w:name w:val="toc 8"/>
    <w:basedOn w:val="799"/>
    <w:next w:val="799"/>
    <w:uiPriority w:val="39"/>
    <w:unhideWhenUsed/>
    <w:pPr>
      <w:ind w:left="1984"/>
      <w:spacing w:after="57"/>
    </w:pPr>
  </w:style>
  <w:style w:type="paragraph" w:styleId="978">
    <w:name w:val="toc 9"/>
    <w:basedOn w:val="799"/>
    <w:next w:val="799"/>
    <w:uiPriority w:val="39"/>
    <w:unhideWhenUsed/>
    <w:pPr>
      <w:ind w:left="2268"/>
      <w:spacing w:after="57"/>
    </w:pPr>
  </w:style>
  <w:style w:type="paragraph" w:styleId="979">
    <w:name w:val="TOC Heading"/>
    <w:uiPriority w:val="39"/>
    <w:unhideWhenUsed/>
    <w:rPr>
      <w:lang w:eastAsia="zh-CN"/>
    </w:rPr>
  </w:style>
  <w:style w:type="paragraph" w:styleId="980">
    <w:name w:val="table of figures"/>
    <w:basedOn w:val="799"/>
    <w:next w:val="799"/>
    <w:uiPriority w:val="99"/>
    <w:unhideWhenUsed/>
  </w:style>
  <w:style w:type="paragraph" w:styleId="981" w:customStyle="1">
    <w:name w:val="ук-пр-рекви1"/>
    <w:basedOn w:val="799"/>
    <w:pPr>
      <w:jc w:val="center"/>
      <w:spacing w:line="204" w:lineRule="auto"/>
    </w:pPr>
    <w:rPr>
      <w:sz w:val="24"/>
      <w:szCs w:val="20"/>
    </w:rPr>
  </w:style>
  <w:style w:type="paragraph" w:styleId="982" w:customStyle="1">
    <w:name w:val="ук-наименование"/>
    <w:basedOn w:val="799"/>
    <w:pPr>
      <w:ind w:right="5395"/>
    </w:pPr>
    <w:rPr>
      <w:sz w:val="24"/>
      <w:szCs w:val="20"/>
    </w:rPr>
  </w:style>
  <w:style w:type="paragraph" w:styleId="983" w:customStyle="1">
    <w:name w:val="ук-заголовое-приложение"/>
    <w:basedOn w:val="799"/>
    <w:pPr>
      <w:contextualSpacing/>
      <w:ind w:left="3419"/>
      <w:jc w:val="right"/>
      <w:spacing w:after="400"/>
    </w:pPr>
    <w:rPr>
      <w:szCs w:val="20"/>
    </w:rPr>
  </w:style>
  <w:style w:type="paragraph" w:styleId="984" w:customStyle="1">
    <w:name w:val="ук-пи-кому"/>
    <w:basedOn w:val="982"/>
    <w:pPr>
      <w:ind w:right="-5"/>
    </w:pPr>
  </w:style>
  <w:style w:type="paragraph" w:styleId="985" w:customStyle="1">
    <w:name w:val="ук-пи-рекви2"/>
    <w:basedOn w:val="981"/>
    <w:pPr>
      <w:jc w:val="left"/>
    </w:pPr>
    <w:rPr>
      <w:rFonts w:ascii="Verdana" w:hAnsi="Verdana"/>
      <w:sz w:val="14"/>
      <w:szCs w:val="14"/>
    </w:rPr>
  </w:style>
  <w:style w:type="paragraph" w:styleId="986">
    <w:name w:val="Balloon Text"/>
    <w:basedOn w:val="799"/>
    <w:link w:val="987"/>
    <w:uiPriority w:val="99"/>
    <w:semiHidden/>
    <w:unhideWhenUsed/>
    <w:rPr>
      <w:rFonts w:ascii="Tahoma" w:hAnsi="Tahoma" w:cs="Tahoma"/>
      <w:sz w:val="16"/>
      <w:szCs w:val="16"/>
    </w:rPr>
  </w:style>
  <w:style w:type="character" w:styleId="987" w:customStyle="1">
    <w:name w:val="Текст выноски Знак"/>
    <w:link w:val="986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character" w:styleId="988">
    <w:name w:val="annotation reference"/>
    <w:uiPriority w:val="99"/>
    <w:semiHidden/>
    <w:unhideWhenUsed/>
    <w:rPr>
      <w:sz w:val="16"/>
      <w:szCs w:val="16"/>
    </w:rPr>
  </w:style>
  <w:style w:type="paragraph" w:styleId="989">
    <w:name w:val="annotation text"/>
    <w:basedOn w:val="799"/>
    <w:link w:val="990"/>
    <w:uiPriority w:val="99"/>
    <w:semiHidden/>
    <w:unhideWhenUsed/>
    <w:rPr>
      <w:sz w:val="20"/>
      <w:szCs w:val="20"/>
    </w:rPr>
  </w:style>
  <w:style w:type="character" w:styleId="990" w:customStyle="1">
    <w:name w:val="Текст примечания Знак"/>
    <w:link w:val="989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91">
    <w:name w:val="annotation subject"/>
    <w:basedOn w:val="989"/>
    <w:next w:val="989"/>
    <w:link w:val="992"/>
    <w:uiPriority w:val="99"/>
    <w:semiHidden/>
    <w:unhideWhenUsed/>
    <w:rPr>
      <w:b/>
      <w:bCs/>
    </w:rPr>
  </w:style>
  <w:style w:type="character" w:styleId="992" w:customStyle="1">
    <w:name w:val="Тема примечания Знак"/>
    <w:link w:val="991"/>
    <w:uiPriority w:val="99"/>
    <w:semiHidden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993">
    <w:name w:val="Revision"/>
    <w:hidden/>
    <w:uiPriority w:val="99"/>
    <w:semiHidden/>
    <w:rPr>
      <w:rFonts w:ascii="Times New Roman" w:hAnsi="Times New Roman" w:eastAsia="Times New Roman"/>
      <w:sz w:val="28"/>
      <w:szCs w:val="28"/>
    </w:rPr>
  </w:style>
  <w:style w:type="character" w:styleId="994" w:customStyle="1">
    <w:name w:val="Верхний колонтитул Знак"/>
    <w:link w:val="831"/>
    <w:uiPriority w:val="99"/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995" w:customStyle="1">
    <w:name w:val="Нижний колонтитул Знак"/>
    <w:link w:val="833"/>
    <w:uiPriority w:val="99"/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996" w:customStyle="1">
    <w:name w:val="ук-подпись/табл"/>
    <w:basedOn w:val="799"/>
    <w:pPr>
      <w:jc w:val="both"/>
      <w:spacing w:after="120"/>
    </w:pPr>
    <w:rPr>
      <w:szCs w:val="20"/>
    </w:rPr>
  </w:style>
  <w:style w:type="paragraph" w:styleId="997" w:customStyle="1">
    <w:name w:val="ук-пи-обращение"/>
    <w:basedOn w:val="799"/>
    <w:pPr>
      <w:ind w:firstLine="720"/>
      <w:jc w:val="center"/>
      <w:spacing w:after="120"/>
    </w:pPr>
    <w:rPr>
      <w:szCs w:val="20"/>
    </w:rPr>
  </w:style>
  <w:style w:type="paragraph" w:styleId="998" w:customStyle="1">
    <w:name w:val="Default"/>
    <w:rPr>
      <w:rFonts w:ascii="Times New Roman" w:hAnsi="Times New Roman"/>
      <w:color w:val="000000"/>
      <w:sz w:val="24"/>
      <w:szCs w:val="24"/>
    </w:rPr>
  </w:style>
  <w:style w:type="character" w:styleId="999" w:customStyle="1">
    <w:name w:val="Текст сноски Знак"/>
    <w:link w:val="964"/>
    <w:uiPriority w:val="99"/>
    <w:semiHidden/>
    <w:rPr>
      <w:rFonts w:ascii="Times New Roman" w:hAnsi="Times New Roman" w:eastAsia="Times New Roman"/>
    </w:rPr>
  </w:style>
  <w:style w:type="character" w:styleId="1000" w:customStyle="1">
    <w:name w:val="Текст концевой сноски Знак"/>
    <w:link w:val="967"/>
    <w:uiPriority w:val="99"/>
    <w:semiHidden/>
    <w:rPr>
      <w:rFonts w:ascii="Times New Roman" w:hAnsi="Times New Roman" w:eastAsia="Times New Roman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Hewlett-Packard Company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Колесникова Татьяна</dc:creator>
  <cp:lastModifiedBy>tayurskaya_en</cp:lastModifiedBy>
  <cp:revision>30</cp:revision>
  <dcterms:created xsi:type="dcterms:W3CDTF">2023-07-12T14:37:00Z</dcterms:created>
  <dcterms:modified xsi:type="dcterms:W3CDTF">2025-12-22T03:22:31Z</dcterms:modified>
  <cp:version>1048576</cp:version>
</cp:coreProperties>
</file>